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EB2" w:rsidRDefault="007F2752">
      <w:pPr>
        <w:pStyle w:val="normal0"/>
        <w:jc w:val="center"/>
        <w:rPr>
          <w:b/>
        </w:rPr>
      </w:pPr>
      <w:r>
        <w:rPr>
          <w:b/>
        </w:rPr>
        <w:t xml:space="preserve">OUSD </w:t>
      </w:r>
      <w:proofErr w:type="spellStart"/>
      <w:r>
        <w:rPr>
          <w:b/>
        </w:rPr>
        <w:t>Fountas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Pinnell</w:t>
      </w:r>
      <w:proofErr w:type="spellEnd"/>
      <w:r>
        <w:rPr>
          <w:b/>
        </w:rPr>
        <w:t xml:space="preserve"> </w:t>
      </w:r>
    </w:p>
    <w:p w:rsidR="007F2752" w:rsidRDefault="009547B4">
      <w:pPr>
        <w:pStyle w:val="normal0"/>
        <w:jc w:val="center"/>
        <w:rPr>
          <w:b/>
          <w:sz w:val="48"/>
          <w:szCs w:val="48"/>
        </w:rPr>
      </w:pPr>
      <w:r w:rsidRPr="00920C4A">
        <w:rPr>
          <w:b/>
          <w:color w:val="0000FF"/>
          <w:sz w:val="48"/>
          <w:szCs w:val="48"/>
        </w:rPr>
        <w:t>INSTRUCTIONAL</w:t>
      </w:r>
      <w:r w:rsidR="00D93EB2">
        <w:rPr>
          <w:b/>
          <w:color w:val="0000FF"/>
          <w:sz w:val="48"/>
          <w:szCs w:val="48"/>
        </w:rPr>
        <w:t xml:space="preserve"> LEVELS</w:t>
      </w:r>
      <w:bookmarkStart w:id="0" w:name="_GoBack"/>
      <w:bookmarkEnd w:id="0"/>
    </w:p>
    <w:p w:rsidR="00FF5A2D" w:rsidRDefault="007F2752">
      <w:pPr>
        <w:pStyle w:val="normal0"/>
        <w:jc w:val="center"/>
      </w:pPr>
      <w:r>
        <w:rPr>
          <w:b/>
        </w:rPr>
        <w:t>Reading Assessment Benchmark Levels 2014</w:t>
      </w:r>
    </w:p>
    <w:p w:rsidR="00FF5A2D" w:rsidRDefault="00FF5A2D">
      <w:pPr>
        <w:pStyle w:val="normal0"/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3"/>
        <w:gridCol w:w="2193"/>
        <w:gridCol w:w="2303"/>
        <w:gridCol w:w="2287"/>
      </w:tblGrid>
      <w:tr w:rsidR="00FF5A2D">
        <w:tc>
          <w:tcPr>
            <w:tcW w:w="2073" w:type="dxa"/>
          </w:tcPr>
          <w:p w:rsidR="00FF5A2D" w:rsidRDefault="00FF5A2D">
            <w:pPr>
              <w:pStyle w:val="normal0"/>
              <w:contextualSpacing w:val="0"/>
            </w:pPr>
          </w:p>
        </w:tc>
        <w:tc>
          <w:tcPr>
            <w:tcW w:w="2193" w:type="dxa"/>
          </w:tcPr>
          <w:p w:rsidR="00FF5A2D" w:rsidRDefault="007F2752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</w:rPr>
              <w:t xml:space="preserve">End of Fall </w:t>
            </w:r>
          </w:p>
        </w:tc>
        <w:tc>
          <w:tcPr>
            <w:tcW w:w="2303" w:type="dxa"/>
          </w:tcPr>
          <w:p w:rsidR="00FF5A2D" w:rsidRDefault="007F2752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</w:rPr>
              <w:t xml:space="preserve">End of Winter </w:t>
            </w:r>
          </w:p>
        </w:tc>
        <w:tc>
          <w:tcPr>
            <w:tcW w:w="2287" w:type="dxa"/>
          </w:tcPr>
          <w:p w:rsidR="00FF5A2D" w:rsidRDefault="007F2752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</w:rPr>
              <w:t>End of Spring/</w:t>
            </w:r>
          </w:p>
          <w:p w:rsidR="00FF5A2D" w:rsidRDefault="007F2752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</w:rPr>
              <w:t>Early Fall of Next Grade</w:t>
            </w:r>
          </w:p>
        </w:tc>
      </w:tr>
      <w:tr w:rsidR="00FF5A2D" w:rsidTr="00E92BA8">
        <w:trPr>
          <w:trHeight w:val="1304"/>
        </w:trPr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Kindergarten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Below </w:t>
            </w:r>
          </w:p>
          <w:p w:rsidR="00FF5A2D" w:rsidRDefault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 Approaching</w:t>
            </w:r>
          </w:p>
          <w:p w:rsidR="00914966" w:rsidRDefault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FF5A2D" w:rsidRDefault="00FF5A2D">
            <w:pPr>
              <w:pStyle w:val="normal0"/>
              <w:contextualSpacing w:val="0"/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Not applicable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A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</w:t>
            </w: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C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D</w:t>
            </w:r>
          </w:p>
        </w:tc>
        <w:tc>
          <w:tcPr>
            <w:tcW w:w="2287" w:type="dxa"/>
          </w:tcPr>
          <w:p w:rsidR="00225C12" w:rsidRDefault="00225C12">
            <w:pPr>
              <w:pStyle w:val="normal0"/>
              <w:contextualSpacing w:val="0"/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C</w:t>
            </w: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D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E</w:t>
            </w:r>
          </w:p>
        </w:tc>
      </w:tr>
      <w:tr w:rsidR="00FF5A2D"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Grade 1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Below</w:t>
            </w:r>
          </w:p>
          <w:p w:rsidR="00914966" w:rsidRDefault="00914966" w:rsidP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Approaching</w:t>
            </w:r>
          </w:p>
          <w:p w:rsidR="00914966" w:rsidRDefault="00914966" w:rsidP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E92BA8" w:rsidRDefault="007F2752" w:rsidP="00E92BA8">
            <w:pPr>
              <w:pStyle w:val="normal0"/>
              <w:contextualSpacing w:val="0"/>
            </w:pPr>
            <w:r>
              <w:rPr>
                <w:b/>
                <w:sz w:val="20"/>
              </w:rPr>
              <w:t xml:space="preserve">       </w:t>
            </w:r>
          </w:p>
          <w:p w:rsidR="00FF5A2D" w:rsidRDefault="00914966" w:rsidP="00E92BA8">
            <w:pPr>
              <w:pStyle w:val="normal0"/>
              <w:contextualSpacing w:val="0"/>
            </w:pPr>
            <w:r>
              <w:rPr>
                <w:sz w:val="20"/>
              </w:rPr>
              <w:t>D</w:t>
            </w:r>
          </w:p>
          <w:p w:rsidR="00E92BA8" w:rsidRDefault="00914966" w:rsidP="00E92BA8">
            <w:pPr>
              <w:pStyle w:val="normal0"/>
              <w:contextualSpacing w:val="0"/>
              <w:jc w:val="both"/>
            </w:pPr>
            <w:r>
              <w:rPr>
                <w:sz w:val="20"/>
              </w:rPr>
              <w:t>E</w:t>
            </w:r>
          </w:p>
          <w:p w:rsidR="00E92BA8" w:rsidRDefault="00914966" w:rsidP="00E92BA8">
            <w:pPr>
              <w:pStyle w:val="normal0"/>
              <w:contextualSpacing w:val="0"/>
              <w:jc w:val="both"/>
            </w:pPr>
            <w:r>
              <w:rPr>
                <w:sz w:val="20"/>
              </w:rPr>
              <w:t>F</w:t>
            </w:r>
          </w:p>
          <w:p w:rsidR="00FF5A2D" w:rsidRDefault="00914966" w:rsidP="00E92BA8">
            <w:pPr>
              <w:pStyle w:val="normal0"/>
              <w:contextualSpacing w:val="0"/>
              <w:jc w:val="both"/>
            </w:pPr>
            <w:r>
              <w:rPr>
                <w:sz w:val="20"/>
              </w:rPr>
              <w:t>G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F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G</w:t>
            </w:r>
          </w:p>
          <w:p w:rsidR="00225C12" w:rsidRDefault="007F2752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 I</w:t>
            </w:r>
          </w:p>
        </w:tc>
        <w:tc>
          <w:tcPr>
            <w:tcW w:w="2287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H</w:t>
            </w:r>
          </w:p>
          <w:p w:rsidR="00FF5A2D" w:rsidRDefault="00225C12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rPr>
                <w:sz w:val="20"/>
              </w:rPr>
              <w:t xml:space="preserve"> </w:t>
            </w:r>
            <w:r w:rsidR="007F2752">
              <w:rPr>
                <w:sz w:val="20"/>
              </w:rPr>
              <w:t>I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 J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K</w:t>
            </w:r>
          </w:p>
        </w:tc>
      </w:tr>
      <w:tr w:rsidR="00FF5A2D"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Grade 2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Below</w:t>
            </w:r>
          </w:p>
          <w:p w:rsidR="00914966" w:rsidRDefault="00914966" w:rsidP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Approaching</w:t>
            </w:r>
          </w:p>
          <w:p w:rsidR="00914966" w:rsidRDefault="00914966" w:rsidP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E92BA8" w:rsidRDefault="00E92BA8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I</w:t>
            </w:r>
          </w:p>
          <w:p w:rsidR="00E92BA8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J               </w:t>
            </w:r>
          </w:p>
          <w:p w:rsidR="00E92BA8" w:rsidRDefault="007F2752">
            <w:pPr>
              <w:pStyle w:val="normal0"/>
              <w:contextualSpacing w:val="0"/>
            </w:pPr>
            <w:r>
              <w:rPr>
                <w:sz w:val="20"/>
              </w:rPr>
              <w:t>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  <w:r w:rsidR="007F2752">
              <w:rPr>
                <w:sz w:val="20"/>
              </w:rPr>
              <w:t>L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J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K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L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M</w:t>
            </w:r>
          </w:p>
        </w:tc>
        <w:tc>
          <w:tcPr>
            <w:tcW w:w="2287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K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L</w:t>
            </w: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M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N</w:t>
            </w:r>
          </w:p>
        </w:tc>
      </w:tr>
      <w:tr w:rsidR="00FF5A2D"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Grade 3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Below</w:t>
            </w:r>
          </w:p>
          <w:p w:rsidR="00914966" w:rsidRDefault="00914966" w:rsidP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Approaching</w:t>
            </w:r>
          </w:p>
          <w:p w:rsidR="00914966" w:rsidRDefault="00914966" w:rsidP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E92BA8" w:rsidRDefault="007F2752">
            <w:pPr>
              <w:pStyle w:val="normal0"/>
              <w:contextualSpacing w:val="0"/>
            </w:pPr>
            <w:r>
              <w:rPr>
                <w:b/>
                <w:sz w:val="20"/>
              </w:rPr>
              <w:t xml:space="preserve">     </w:t>
            </w:r>
            <w:r w:rsidR="00E92BA8">
              <w:rPr>
                <w:b/>
                <w:sz w:val="20"/>
              </w:rPr>
              <w:t xml:space="preserve">     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L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M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N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O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M</w:t>
            </w: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N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O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P</w:t>
            </w:r>
          </w:p>
        </w:tc>
        <w:tc>
          <w:tcPr>
            <w:tcW w:w="2287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N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O</w:t>
            </w:r>
          </w:p>
          <w:p w:rsidR="00FF5A2D" w:rsidRDefault="00D93EB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  <w:r w:rsidR="007F2752">
              <w:rPr>
                <w:sz w:val="20"/>
              </w:rPr>
              <w:t>P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Q</w:t>
            </w:r>
          </w:p>
        </w:tc>
      </w:tr>
      <w:tr w:rsidR="00FF5A2D"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Grade 4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Below</w:t>
            </w:r>
          </w:p>
          <w:p w:rsidR="00914966" w:rsidRDefault="00914966" w:rsidP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Approaching</w:t>
            </w:r>
          </w:p>
          <w:p w:rsidR="00914966" w:rsidRDefault="00914966" w:rsidP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E92BA8" w:rsidRDefault="00E92BA8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O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P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Q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R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225C12" w:rsidRDefault="007F2752">
            <w:pPr>
              <w:pStyle w:val="normal0"/>
              <w:contextualSpacing w:val="0"/>
            </w:pPr>
            <w:r>
              <w:rPr>
                <w:sz w:val="20"/>
              </w:rPr>
              <w:t>P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Q 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R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S</w:t>
            </w:r>
          </w:p>
        </w:tc>
        <w:tc>
          <w:tcPr>
            <w:tcW w:w="2287" w:type="dxa"/>
          </w:tcPr>
          <w:p w:rsidR="00D93EB2" w:rsidRDefault="00D93EB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Q</w:t>
            </w:r>
          </w:p>
          <w:p w:rsidR="00D93EB2" w:rsidRDefault="007F2752">
            <w:pPr>
              <w:pStyle w:val="normal0"/>
              <w:contextualSpacing w:val="0"/>
            </w:pPr>
            <w:r>
              <w:rPr>
                <w:sz w:val="20"/>
              </w:rPr>
              <w:t>R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S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T</w:t>
            </w:r>
          </w:p>
        </w:tc>
      </w:tr>
      <w:tr w:rsidR="00FF5A2D">
        <w:tc>
          <w:tcPr>
            <w:tcW w:w="2073" w:type="dxa"/>
          </w:tcPr>
          <w:p w:rsidR="00FF5A2D" w:rsidRDefault="007F2752">
            <w:pPr>
              <w:pStyle w:val="normal0"/>
              <w:contextualSpacing w:val="0"/>
            </w:pPr>
            <w:r>
              <w:rPr>
                <w:b/>
                <w:sz w:val="20"/>
                <w:u w:val="single"/>
              </w:rPr>
              <w:t>Grade 5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Below</w:t>
            </w:r>
          </w:p>
          <w:p w:rsidR="00914966" w:rsidRDefault="00914966" w:rsidP="00914966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Approaching</w:t>
            </w:r>
          </w:p>
          <w:p w:rsidR="00914966" w:rsidRDefault="00914966" w:rsidP="00914966">
            <w:pPr>
              <w:pStyle w:val="normal0"/>
              <w:contextualSpacing w:val="0"/>
            </w:pPr>
            <w:r>
              <w:rPr>
                <w:sz w:val="20"/>
              </w:rPr>
              <w:t>At Benchmark</w:t>
            </w:r>
          </w:p>
          <w:p w:rsidR="00FF5A2D" w:rsidRDefault="00E92BA8">
            <w:pPr>
              <w:pStyle w:val="normal0"/>
              <w:contextualSpacing w:val="0"/>
            </w:pPr>
            <w:r>
              <w:rPr>
                <w:sz w:val="20"/>
              </w:rPr>
              <w:t>Above Benchmark</w:t>
            </w:r>
          </w:p>
        </w:tc>
        <w:tc>
          <w:tcPr>
            <w:tcW w:w="2193" w:type="dxa"/>
          </w:tcPr>
          <w:p w:rsidR="00E92BA8" w:rsidRDefault="00E92BA8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R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S</w:t>
            </w:r>
          </w:p>
          <w:p w:rsidR="00E92BA8" w:rsidRDefault="00E92BA8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U</w:t>
            </w:r>
          </w:p>
        </w:tc>
        <w:tc>
          <w:tcPr>
            <w:tcW w:w="2303" w:type="dxa"/>
          </w:tcPr>
          <w:p w:rsidR="00225C12" w:rsidRDefault="00225C1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S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T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U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V</w:t>
            </w:r>
          </w:p>
        </w:tc>
        <w:tc>
          <w:tcPr>
            <w:tcW w:w="2287" w:type="dxa"/>
          </w:tcPr>
          <w:p w:rsidR="00D93EB2" w:rsidRDefault="00D93EB2">
            <w:pPr>
              <w:pStyle w:val="normal0"/>
              <w:contextualSpacing w:val="0"/>
              <w:rPr>
                <w:b/>
                <w:sz w:val="20"/>
              </w:rPr>
            </w:pPr>
          </w:p>
          <w:p w:rsidR="00D93EB2" w:rsidRDefault="007F2752">
            <w:pPr>
              <w:pStyle w:val="normal0"/>
              <w:contextualSpacing w:val="0"/>
            </w:pPr>
            <w:r>
              <w:rPr>
                <w:sz w:val="20"/>
              </w:rPr>
              <w:t>T</w:t>
            </w:r>
          </w:p>
          <w:p w:rsidR="00D93EB2" w:rsidRDefault="007F2752">
            <w:pPr>
              <w:pStyle w:val="normal0"/>
              <w:contextualSpacing w:val="0"/>
            </w:pPr>
            <w:r>
              <w:rPr>
                <w:sz w:val="20"/>
              </w:rPr>
              <w:t>U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 xml:space="preserve"> V</w:t>
            </w:r>
          </w:p>
          <w:p w:rsidR="00FF5A2D" w:rsidRDefault="007F2752">
            <w:pPr>
              <w:pStyle w:val="normal0"/>
              <w:contextualSpacing w:val="0"/>
            </w:pPr>
            <w:r>
              <w:rPr>
                <w:sz w:val="20"/>
              </w:rPr>
              <w:t>W</w:t>
            </w:r>
          </w:p>
        </w:tc>
      </w:tr>
    </w:tbl>
    <w:p w:rsidR="00FF5A2D" w:rsidRDefault="00FF5A2D">
      <w:pPr>
        <w:pStyle w:val="normal0"/>
        <w:jc w:val="center"/>
      </w:pPr>
    </w:p>
    <w:p w:rsidR="00FF5A2D" w:rsidRDefault="00D93EB2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:rsidR="00FF5A2D" w:rsidRDefault="00FF5A2D">
      <w:pPr>
        <w:pStyle w:val="normal0"/>
        <w:jc w:val="center"/>
      </w:pPr>
    </w:p>
    <w:sectPr w:rsidR="00FF5A2D" w:rsidSect="00741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5A2D"/>
    <w:rsid w:val="001E00F6"/>
    <w:rsid w:val="00225C12"/>
    <w:rsid w:val="00741D0C"/>
    <w:rsid w:val="007F2752"/>
    <w:rsid w:val="00914966"/>
    <w:rsid w:val="00920C4A"/>
    <w:rsid w:val="009547B4"/>
    <w:rsid w:val="00A943B9"/>
    <w:rsid w:val="00D61940"/>
    <w:rsid w:val="00D93EB2"/>
    <w:rsid w:val="00E92BA8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C"/>
  </w:style>
  <w:style w:type="paragraph" w:styleId="Heading1">
    <w:name w:val="heading 1"/>
    <w:basedOn w:val="normal0"/>
    <w:next w:val="normal0"/>
    <w:rsid w:val="00741D0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41D0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41D0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41D0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41D0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741D0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1D0C"/>
  </w:style>
  <w:style w:type="paragraph" w:styleId="Title">
    <w:name w:val="Title"/>
    <w:basedOn w:val="normal0"/>
    <w:next w:val="normal0"/>
    <w:rsid w:val="00741D0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41D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41D0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OUSD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 and Fountas &amp; Pinnell OUSD Benchmarks 2014.docx.docx</dc:title>
  <dc:creator>JEAN WING</dc:creator>
  <cp:lastModifiedBy>Jean.Wing</cp:lastModifiedBy>
  <cp:revision>2</cp:revision>
  <cp:lastPrinted>2014-10-17T19:49:00Z</cp:lastPrinted>
  <dcterms:created xsi:type="dcterms:W3CDTF">2014-11-15T00:05:00Z</dcterms:created>
  <dcterms:modified xsi:type="dcterms:W3CDTF">2014-11-15T00:05:00Z</dcterms:modified>
</cp:coreProperties>
</file>